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C2" w:rsidRPr="005552A0" w:rsidRDefault="00BF6EC2" w:rsidP="00BF6EC2">
      <w:pPr>
        <w:rPr>
          <w:b/>
        </w:rPr>
      </w:pPr>
      <w:r w:rsidRPr="005552A0">
        <w:rPr>
          <w:b/>
        </w:rPr>
        <w:t xml:space="preserve">CHECKLIST PARA CONFERÊNCIA DOCUMENTAÇÃO PARA </w:t>
      </w:r>
      <w:r>
        <w:rPr>
          <w:b/>
        </w:rPr>
        <w:t>LICENÇA CAPACITAÇÃO</w:t>
      </w:r>
      <w:r w:rsidRPr="005552A0">
        <w:rPr>
          <w:b/>
        </w:rPr>
        <w:t xml:space="preserve"> DOCENTE</w:t>
      </w:r>
    </w:p>
    <w:p w:rsidR="00BF6EC2" w:rsidRDefault="00BF6EC2" w:rsidP="00BF6EC2">
      <w:r>
        <w:t>Departamento:_____________________________________________________________</w:t>
      </w:r>
    </w:p>
    <w:p w:rsidR="00BF6EC2" w:rsidRDefault="00BF6EC2" w:rsidP="00BF6EC2">
      <w:r>
        <w:t>Docente:_____________________________________________________________________</w:t>
      </w:r>
    </w:p>
    <w:p w:rsidR="00BF6EC2" w:rsidRDefault="00BF6EC2" w:rsidP="00BF6EC2">
      <w:r>
        <w:t xml:space="preserve">Período:__/___/____ </w:t>
      </w:r>
      <w:proofErr w:type="spellStart"/>
      <w:r>
        <w:t>a__</w:t>
      </w:r>
      <w:proofErr w:type="spellEnd"/>
      <w:r>
        <w:t xml:space="preserve">/___/____     </w:t>
      </w:r>
    </w:p>
    <w:p w:rsidR="00BF6EC2" w:rsidRDefault="00BF6EC2" w:rsidP="00BF6EC2">
      <w:r>
        <w:t>Processo nº_________________________</w:t>
      </w:r>
    </w:p>
    <w:p w:rsidR="00BF6EC2" w:rsidRDefault="00BF6EC2" w:rsidP="00BF6EC2">
      <w:pPr>
        <w:pStyle w:val="PargrafodaLista"/>
        <w:numPr>
          <w:ilvl w:val="0"/>
          <w:numId w:val="1"/>
        </w:numPr>
        <w:jc w:val="both"/>
      </w:pPr>
      <w:r>
        <w:t>Cadastramento do processo no sistema</w:t>
      </w:r>
      <w:r w:rsidR="00AC016E">
        <w:t xml:space="preserve"> (</w:t>
      </w:r>
      <w:r w:rsidR="00E62459" w:rsidRPr="00AC016E">
        <w:rPr>
          <w:b/>
        </w:rPr>
        <w:t>com antecedência mínima de 60 dias</w:t>
      </w:r>
      <w:r w:rsidR="00AC016E" w:rsidRPr="00AC016E">
        <w:rPr>
          <w:b/>
        </w:rPr>
        <w:t xml:space="preserve"> do período solicitado</w:t>
      </w:r>
      <w:r w:rsidR="00AC016E">
        <w:t>)</w:t>
      </w:r>
      <w:r>
        <w:t>;</w:t>
      </w:r>
    </w:p>
    <w:p w:rsidR="00BF6EC2" w:rsidRDefault="00BF6EC2" w:rsidP="00BF6EC2">
      <w:pPr>
        <w:numPr>
          <w:ilvl w:val="0"/>
          <w:numId w:val="1"/>
        </w:numPr>
        <w:jc w:val="both"/>
      </w:pPr>
      <w:proofErr w:type="gramStart"/>
      <w:r w:rsidRPr="00BF6EC2">
        <w:t>formulário</w:t>
      </w:r>
      <w:proofErr w:type="gramEnd"/>
      <w:r w:rsidRPr="00BF6EC2">
        <w:t xml:space="preserve"> de solicitação de licença para capacitação;</w:t>
      </w:r>
      <w:r w:rsidR="003B4CB7">
        <w:t xml:space="preserve"> </w:t>
      </w:r>
      <w:hyperlink r:id="rId7" w:history="1">
        <w:r w:rsidR="00940B49">
          <w:rPr>
            <w:rStyle w:val="Hyperlink"/>
          </w:rPr>
          <w:t>Li</w:t>
        </w:r>
        <w:r w:rsidR="00940B49">
          <w:rPr>
            <w:rStyle w:val="Hyperlink"/>
          </w:rPr>
          <w:t>n</w:t>
        </w:r>
        <w:r w:rsidR="00940B49">
          <w:rPr>
            <w:rStyle w:val="Hyperlink"/>
          </w:rPr>
          <w:t>k</w:t>
        </w:r>
      </w:hyperlink>
    </w:p>
    <w:p w:rsidR="00BF6EC2" w:rsidRPr="00BF6EC2" w:rsidRDefault="00BF6EC2" w:rsidP="00BF6EC2">
      <w:pPr>
        <w:numPr>
          <w:ilvl w:val="0"/>
          <w:numId w:val="1"/>
        </w:numPr>
        <w:jc w:val="both"/>
      </w:pPr>
      <w:r w:rsidRPr="00BF6EC2">
        <w:t xml:space="preserve"> </w:t>
      </w:r>
      <w:proofErr w:type="gramStart"/>
      <w:r w:rsidRPr="00BF6EC2">
        <w:t>relatório</w:t>
      </w:r>
      <w:proofErr w:type="gramEnd"/>
      <w:r w:rsidRPr="00BF6EC2">
        <w:t xml:space="preserve"> “aquisitivo”, extraído do SIGRH/Consultas, onde está consignado o período aquisitivo e a situação da licença (prescrita ou não prescrita); </w:t>
      </w:r>
    </w:p>
    <w:p w:rsidR="00BF6EC2" w:rsidRPr="00BF6EC2" w:rsidRDefault="00BF6EC2" w:rsidP="00BF6EC2">
      <w:pPr>
        <w:numPr>
          <w:ilvl w:val="0"/>
          <w:numId w:val="1"/>
        </w:numPr>
        <w:jc w:val="both"/>
      </w:pPr>
      <w:r w:rsidRPr="00BF6EC2">
        <w:t xml:space="preserve">documentos relativos à capacitação (natureza da capacitação, instituição promotora, regime e local de funcionamento, tempo de duração, carga horária, conteúdo programático, programação de trabalhos, em caso de treinamentos em serviço e, documento institucional de aceitação do servidor, dentre outros </w:t>
      </w:r>
      <w:r w:rsidR="00A561A8">
        <w:t>que se façam necessários à anál</w:t>
      </w:r>
      <w:r w:rsidRPr="00BF6EC2">
        <w:t xml:space="preserve">ise da demanda); </w:t>
      </w:r>
    </w:p>
    <w:p w:rsidR="00BF6EC2" w:rsidRPr="00BF6EC2" w:rsidRDefault="00BF6EC2" w:rsidP="00BF6EC2">
      <w:pPr>
        <w:numPr>
          <w:ilvl w:val="0"/>
          <w:numId w:val="1"/>
        </w:numPr>
        <w:jc w:val="both"/>
      </w:pPr>
      <w:r w:rsidRPr="00BF6EC2">
        <w:t xml:space="preserve">termo de compromisso e de responsabilidade do(a) servidor(a) de que comprovará a participação e os resultados decorrentes da ação de capacitação à Pró-Reitoria de Gestão de Pessoas; </w:t>
      </w:r>
    </w:p>
    <w:p w:rsidR="00BF6EC2" w:rsidRPr="00BF6EC2" w:rsidRDefault="00BF6EC2" w:rsidP="00BF6EC2">
      <w:pPr>
        <w:numPr>
          <w:ilvl w:val="0"/>
          <w:numId w:val="1"/>
        </w:numPr>
        <w:jc w:val="both"/>
      </w:pPr>
      <w:proofErr w:type="gramStart"/>
      <w:r w:rsidRPr="00BF6EC2">
        <w:t>documento</w:t>
      </w:r>
      <w:proofErr w:type="gramEnd"/>
      <w:r w:rsidRPr="00BF6EC2">
        <w:t xml:space="preserve"> comprobatório de aprovação do pleito, em conformidade com o §1o do art. 1o da Resolução</w:t>
      </w:r>
      <w:r w:rsidR="001B2405" w:rsidRPr="001B2405">
        <w:t xml:space="preserve"> </w:t>
      </w:r>
      <w:r w:rsidR="001B2405">
        <w:t>n°</w:t>
      </w:r>
      <w:r w:rsidR="001B2405" w:rsidRPr="00AC016E">
        <w:t xml:space="preserve"> 19/</w:t>
      </w:r>
      <w:proofErr w:type="spellStart"/>
      <w:r w:rsidR="001B2405" w:rsidRPr="00AC016E">
        <w:t>Consuni</w:t>
      </w:r>
      <w:proofErr w:type="spellEnd"/>
      <w:r w:rsidR="001B2405" w:rsidRPr="00AC016E">
        <w:t>, de 10 de junho de 2016</w:t>
      </w:r>
      <w:r w:rsidRPr="00BF6EC2">
        <w:t xml:space="preserve">; </w:t>
      </w:r>
    </w:p>
    <w:p w:rsidR="00BF6EC2" w:rsidRPr="00BF6EC2" w:rsidRDefault="00BF6EC2" w:rsidP="00BF6EC2">
      <w:pPr>
        <w:numPr>
          <w:ilvl w:val="0"/>
          <w:numId w:val="1"/>
        </w:numPr>
        <w:jc w:val="both"/>
      </w:pPr>
      <w:proofErr w:type="gramStart"/>
      <w:r w:rsidRPr="00BF6EC2">
        <w:t>comprovação</w:t>
      </w:r>
      <w:proofErr w:type="gramEnd"/>
      <w:r w:rsidRPr="00BF6EC2">
        <w:t xml:space="preserve"> de regularidade da programação de férias, no formato de relatório extraído do SIGRH/Férias/Consulta (devidamente homologada pela chefia imediata), referente ao exercício/ano de gozo da licença para capacitação, conforme prescrito no art. 5o da Orientação Normativa no 02/2011 do MPOG;</w:t>
      </w:r>
    </w:p>
    <w:p w:rsidR="00BF6EC2" w:rsidRPr="00BF6EC2" w:rsidRDefault="00BF6EC2" w:rsidP="00BF6EC2">
      <w:pPr>
        <w:numPr>
          <w:ilvl w:val="0"/>
          <w:numId w:val="1"/>
        </w:numPr>
        <w:jc w:val="both"/>
      </w:pPr>
      <w:r w:rsidRPr="00BF6EC2">
        <w:t xml:space="preserve">  histórico das 3 (três) últimas avaliações de desempenho, com média geral não inferior a 3 (três). Em caso de pessoal docente, será considerada a Avaliação de Desempenho do Docente – ADD pelos discentes de que trata a Resolução no 24/CEPE de 2014 </w:t>
      </w:r>
    </w:p>
    <w:p w:rsidR="00BF6EC2" w:rsidRPr="00BF6EC2" w:rsidRDefault="00BF6EC2" w:rsidP="00BF6EC2">
      <w:pPr>
        <w:jc w:val="both"/>
        <w:rPr>
          <w:b/>
        </w:rPr>
      </w:pPr>
      <w:r w:rsidRPr="00BF6EC2">
        <w:rPr>
          <w:b/>
        </w:rPr>
        <w:t>IMPORTANTE:</w:t>
      </w:r>
    </w:p>
    <w:p w:rsidR="00C92691" w:rsidRDefault="00BF6EC2" w:rsidP="00BF6EC2">
      <w:pPr>
        <w:numPr>
          <w:ilvl w:val="0"/>
          <w:numId w:val="3"/>
        </w:numPr>
        <w:jc w:val="both"/>
      </w:pPr>
      <w:r w:rsidRPr="00BF6EC2">
        <w:t xml:space="preserve">Até 90 (noventa) dias corridos após o término da licença para capacitação, o(a) servidor(a) deverá entregar à PROGEP a comprovação de encerramento da ação de capacitação, de acordo com a natureza da ação respectiva (certificados, relatórios, etc.), para ser anexada ao processo administrativo original. Caberá ao gestor imediato do(a) servidor(a) pautar em reunião de colegiado e/ou de conselho o relato dos </w:t>
      </w:r>
      <w:r w:rsidRPr="00BF6EC2">
        <w:lastRenderedPageBreak/>
        <w:t>resultados da licença capacitação e a critério da administração, ser solicitado a disseminar o conteúdo da ação de capacitação para outros servidores</w:t>
      </w:r>
      <w:r>
        <w:t>.</w:t>
      </w:r>
    </w:p>
    <w:p w:rsidR="00A51FD7" w:rsidRPr="006B2419" w:rsidRDefault="00A51FD7" w:rsidP="00A51FD7">
      <w:pPr>
        <w:ind w:left="360"/>
        <w:rPr>
          <w:b/>
        </w:rPr>
      </w:pPr>
      <w:r w:rsidRPr="006B2419">
        <w:rPr>
          <w:b/>
        </w:rPr>
        <w:t>Documentos de apoio:</w:t>
      </w:r>
    </w:p>
    <w:p w:rsidR="00AC016E" w:rsidRDefault="001D3C9B" w:rsidP="00A51FD7">
      <w:pPr>
        <w:ind w:left="360"/>
      </w:pPr>
      <w:r>
        <w:t>R</w:t>
      </w:r>
      <w:r w:rsidR="00AC016E" w:rsidRPr="00AC016E">
        <w:t>esolução no 19/</w:t>
      </w:r>
      <w:proofErr w:type="spellStart"/>
      <w:r w:rsidR="00AC016E" w:rsidRPr="00AC016E">
        <w:t>Consuni</w:t>
      </w:r>
      <w:proofErr w:type="spellEnd"/>
      <w:r w:rsidR="00AC016E" w:rsidRPr="00AC016E">
        <w:t>, de 10 de junho de 2016</w:t>
      </w:r>
    </w:p>
    <w:p w:rsidR="00A51FD7" w:rsidRDefault="00A51FD7" w:rsidP="00A51FD7">
      <w:pPr>
        <w:jc w:val="both"/>
      </w:pPr>
    </w:p>
    <w:sectPr w:rsidR="00A51FD7" w:rsidSect="00BF6EC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C3" w:rsidRDefault="00B177C3" w:rsidP="009D7DC9">
      <w:pPr>
        <w:spacing w:after="0" w:line="240" w:lineRule="auto"/>
      </w:pPr>
      <w:r>
        <w:separator/>
      </w:r>
    </w:p>
  </w:endnote>
  <w:endnote w:type="continuationSeparator" w:id="0">
    <w:p w:rsidR="00B177C3" w:rsidRDefault="00B177C3" w:rsidP="009D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1225"/>
      <w:docPartObj>
        <w:docPartGallery w:val="Page Numbers (Bottom of Page)"/>
        <w:docPartUnique/>
      </w:docPartObj>
    </w:sdtPr>
    <w:sdtContent>
      <w:p w:rsidR="009D7DC9" w:rsidRDefault="00306C80">
        <w:pPr>
          <w:pStyle w:val="Rodap"/>
          <w:jc w:val="right"/>
        </w:pPr>
        <w:fldSimple w:instr=" PAGE   \* MERGEFORMAT ">
          <w:r w:rsidR="00940B49">
            <w:rPr>
              <w:noProof/>
            </w:rPr>
            <w:t>1</w:t>
          </w:r>
        </w:fldSimple>
      </w:p>
    </w:sdtContent>
  </w:sdt>
  <w:p w:rsidR="009D7DC9" w:rsidRDefault="009D7D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C3" w:rsidRDefault="00B177C3" w:rsidP="009D7DC9">
      <w:pPr>
        <w:spacing w:after="0" w:line="240" w:lineRule="auto"/>
      </w:pPr>
      <w:r>
        <w:separator/>
      </w:r>
    </w:p>
  </w:footnote>
  <w:footnote w:type="continuationSeparator" w:id="0">
    <w:p w:rsidR="00B177C3" w:rsidRDefault="00B177C3" w:rsidP="009D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DC9" w:rsidRPr="00B6003F" w:rsidRDefault="009D7DC9" w:rsidP="009D7DC9">
    <w:pPr>
      <w:pStyle w:val="Cabealho"/>
      <w:ind w:left="708"/>
      <w:rPr>
        <w:b/>
      </w:rPr>
    </w:pPr>
    <w:r w:rsidRPr="00B6003F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-351043</wp:posOffset>
          </wp:positionH>
          <wp:positionV relativeFrom="paragraph">
            <wp:posOffset>-163830</wp:posOffset>
          </wp:positionV>
          <wp:extent cx="680608" cy="80010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8" cy="804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003F">
      <w:rPr>
        <w:b/>
      </w:rPr>
      <w:t>Universidade Federal do Ceará</w:t>
    </w:r>
  </w:p>
  <w:p w:rsidR="009D7DC9" w:rsidRPr="00B6003F" w:rsidRDefault="009D7DC9" w:rsidP="009D7DC9">
    <w:pPr>
      <w:pStyle w:val="Cabealho"/>
      <w:ind w:left="708"/>
      <w:rPr>
        <w:b/>
      </w:rPr>
    </w:pPr>
    <w:r w:rsidRPr="00B6003F">
      <w:rPr>
        <w:b/>
      </w:rPr>
      <w:t xml:space="preserve">Faculdade de Economia, Administração, Atuária e </w:t>
    </w:r>
    <w:proofErr w:type="gramStart"/>
    <w:r w:rsidRPr="00B6003F">
      <w:rPr>
        <w:b/>
      </w:rPr>
      <w:t>Contabilidade</w:t>
    </w:r>
    <w:proofErr w:type="gramEnd"/>
  </w:p>
  <w:p w:rsidR="009D7DC9" w:rsidRPr="00B6003F" w:rsidRDefault="009D7DC9" w:rsidP="009D7DC9">
    <w:pPr>
      <w:pStyle w:val="Cabealho"/>
      <w:ind w:left="708"/>
      <w:rPr>
        <w:b/>
      </w:rPr>
    </w:pPr>
    <w:r w:rsidRPr="00B6003F">
      <w:rPr>
        <w:b/>
      </w:rPr>
      <w:t>Diretoria da FEAAC</w:t>
    </w:r>
  </w:p>
  <w:p w:rsidR="009D7DC9" w:rsidRPr="00B6003F" w:rsidRDefault="009D7DC9" w:rsidP="009D7DC9">
    <w:pPr>
      <w:pStyle w:val="Cabealho"/>
    </w:pPr>
  </w:p>
  <w:p w:rsidR="009D7DC9" w:rsidRDefault="009D7D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3E49"/>
    <w:multiLevelType w:val="hybridMultilevel"/>
    <w:tmpl w:val="5BA427E2"/>
    <w:lvl w:ilvl="0" w:tplc="61D6A6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41C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226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A9A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6A5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C3E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EA6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ECF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E0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371EC"/>
    <w:multiLevelType w:val="hybridMultilevel"/>
    <w:tmpl w:val="992A6E00"/>
    <w:lvl w:ilvl="0" w:tplc="7EBC7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886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C40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CA1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EF6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8A2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25A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0B5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006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A00A7"/>
    <w:multiLevelType w:val="hybridMultilevel"/>
    <w:tmpl w:val="7298A1BE"/>
    <w:lvl w:ilvl="0" w:tplc="9112C7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F4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A5F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0EA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42C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AAA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0ED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6B7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EDE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C9"/>
    <w:rsid w:val="001B2405"/>
    <w:rsid w:val="001D3C9B"/>
    <w:rsid w:val="002F1FBD"/>
    <w:rsid w:val="00306C80"/>
    <w:rsid w:val="003B4CB7"/>
    <w:rsid w:val="004325C9"/>
    <w:rsid w:val="0045418C"/>
    <w:rsid w:val="006B2419"/>
    <w:rsid w:val="008A66E3"/>
    <w:rsid w:val="00940B49"/>
    <w:rsid w:val="009D7DC9"/>
    <w:rsid w:val="00A51FD7"/>
    <w:rsid w:val="00A561A8"/>
    <w:rsid w:val="00AC016E"/>
    <w:rsid w:val="00B177C3"/>
    <w:rsid w:val="00BF6EC2"/>
    <w:rsid w:val="00C92691"/>
    <w:rsid w:val="00E62459"/>
    <w:rsid w:val="00ED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E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D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7D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D7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DC9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DC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3B4CB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40B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9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gep.ufc.br/images/arquivos/formularios/solicitacoes/form_licenca_capacit_jul_17_ed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C\Desktop\CHECKLIST%20PARA%20CONFER&#202;NCIA%20DOCUMENTA&#199;&#195;O%20PARA%20LICEN&#199;A%20CAPACITA&#199;&#195;O%20DOCEN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PARA CONFERÊNCIA DOCUMENTAÇÃO PARA LICENÇA CAPACITAÇÃO DOCENTE</Template>
  <TotalTime>6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5</cp:revision>
  <dcterms:created xsi:type="dcterms:W3CDTF">2017-08-22T19:34:00Z</dcterms:created>
  <dcterms:modified xsi:type="dcterms:W3CDTF">2017-08-23T14:18:00Z</dcterms:modified>
</cp:coreProperties>
</file>